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adjustRightInd/>
        <w:snapToGrid/>
        <w:spacing w:line="520" w:lineRule="exact"/>
        <w:jc w:val="both"/>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w:t>
      </w:r>
    </w:p>
    <w:p>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附件1</w:t>
      </w:r>
    </w:p>
    <w:p>
      <w:pPr>
        <w:pStyle w:val="2"/>
        <w:keepNext w:val="0"/>
        <w:keepLines w:val="0"/>
        <w:pageBreakBefore w:val="0"/>
        <w:widowControl w:val="0"/>
        <w:kinsoku/>
        <w:wordWrap/>
        <w:overflowPunct/>
        <w:topLinePunct w:val="0"/>
        <w:autoSpaceDE/>
        <w:autoSpaceDN/>
        <w:bidi w:val="0"/>
        <w:adjustRightInd/>
        <w:snapToGrid/>
        <w:spacing w:before="0" w:beforeAutospacing="0" w:after="0" w:line="360" w:lineRule="exact"/>
        <w:textAlignment w:val="auto"/>
        <w:rPr>
          <w:rFonts w:hint="default"/>
          <w:lang w:val="en-US" w:eastAsia="zh-CN"/>
        </w:rPr>
      </w:pP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firstLine="0"/>
        <w:jc w:val="center"/>
        <w:textAlignment w:val="auto"/>
        <w:rPr>
          <w:rFonts w:hint="eastAsia" w:ascii="方正小标宋_GBK" w:hAnsi="方正小标宋_GBK" w:eastAsia="方正小标宋_GBK" w:cs="方正小标宋_GBK"/>
          <w:b w:val="0"/>
          <w:bCs/>
          <w:i w:val="0"/>
          <w:iCs w:val="0"/>
          <w:caps w:val="0"/>
          <w:color w:val="222222"/>
          <w:spacing w:val="15"/>
          <w:sz w:val="44"/>
          <w:szCs w:val="44"/>
        </w:rPr>
      </w:pPr>
      <w:r>
        <w:rPr>
          <w:rStyle w:val="11"/>
          <w:rFonts w:hint="eastAsia" w:ascii="方正小标宋_GBK" w:hAnsi="方正小标宋_GBK" w:eastAsia="方正小标宋_GBK" w:cs="方正小标宋_GBK"/>
          <w:b w:val="0"/>
          <w:bCs/>
          <w:i w:val="0"/>
          <w:iCs w:val="0"/>
          <w:caps w:val="0"/>
          <w:color w:val="222222"/>
          <w:spacing w:val="15"/>
          <w:sz w:val="44"/>
          <w:szCs w:val="44"/>
        </w:rPr>
        <w:t>湖南省消防安全重点单位界定标准</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firstLine="0"/>
        <w:jc w:val="center"/>
        <w:textAlignment w:val="auto"/>
        <w:rPr>
          <w:rStyle w:val="11"/>
          <w:rFonts w:hint="eastAsia" w:ascii="方正仿宋_GBK" w:hAnsi="方正仿宋_GBK" w:eastAsia="方正仿宋_GBK" w:cs="方正仿宋_GBK"/>
          <w:b w:val="0"/>
          <w:bCs/>
          <w:i w:val="0"/>
          <w:iCs w:val="0"/>
          <w:caps w:val="0"/>
          <w:color w:val="222222"/>
          <w:spacing w:val="15"/>
          <w:sz w:val="28"/>
          <w:szCs w:val="28"/>
        </w:rPr>
      </w:pPr>
      <w:r>
        <w:rPr>
          <w:rStyle w:val="11"/>
          <w:rFonts w:hint="eastAsia" w:ascii="方正仿宋_GBK" w:hAnsi="方正仿宋_GBK" w:eastAsia="方正仿宋_GBK" w:cs="方正仿宋_GBK"/>
          <w:b w:val="0"/>
          <w:bCs/>
          <w:i w:val="0"/>
          <w:iCs w:val="0"/>
          <w:caps w:val="0"/>
          <w:color w:val="222222"/>
          <w:spacing w:val="15"/>
          <w:sz w:val="28"/>
          <w:szCs w:val="28"/>
        </w:rPr>
        <w:t>（202</w:t>
      </w:r>
      <w:r>
        <w:rPr>
          <w:rStyle w:val="11"/>
          <w:rFonts w:hint="eastAsia" w:ascii="方正仿宋_GBK" w:hAnsi="方正仿宋_GBK" w:eastAsia="方正仿宋_GBK" w:cs="方正仿宋_GBK"/>
          <w:b w:val="0"/>
          <w:bCs/>
          <w:i w:val="0"/>
          <w:iCs w:val="0"/>
          <w:caps w:val="0"/>
          <w:color w:val="222222"/>
          <w:spacing w:val="15"/>
          <w:sz w:val="28"/>
          <w:szCs w:val="28"/>
          <w:lang w:val="en-US" w:eastAsia="zh-CN"/>
        </w:rPr>
        <w:t>3</w:t>
      </w:r>
      <w:r>
        <w:rPr>
          <w:rStyle w:val="11"/>
          <w:rFonts w:hint="eastAsia" w:ascii="方正仿宋_GBK" w:hAnsi="方正仿宋_GBK" w:eastAsia="方正仿宋_GBK" w:cs="方正仿宋_GBK"/>
          <w:b w:val="0"/>
          <w:bCs/>
          <w:i w:val="0"/>
          <w:iCs w:val="0"/>
          <w:caps w:val="0"/>
          <w:color w:val="222222"/>
          <w:spacing w:val="15"/>
          <w:sz w:val="28"/>
          <w:szCs w:val="28"/>
        </w:rPr>
        <w:t>年</w:t>
      </w:r>
      <w:r>
        <w:rPr>
          <w:rStyle w:val="11"/>
          <w:rFonts w:hint="eastAsia" w:ascii="方正仿宋_GBK" w:hAnsi="方正仿宋_GBK" w:eastAsia="方正仿宋_GBK" w:cs="方正仿宋_GBK"/>
          <w:b w:val="0"/>
          <w:bCs/>
          <w:i w:val="0"/>
          <w:iCs w:val="0"/>
          <w:caps w:val="0"/>
          <w:color w:val="222222"/>
          <w:spacing w:val="15"/>
          <w:sz w:val="28"/>
          <w:szCs w:val="28"/>
          <w:lang w:eastAsia="zh-CN"/>
        </w:rPr>
        <w:t>修订</w:t>
      </w:r>
      <w:r>
        <w:rPr>
          <w:rStyle w:val="11"/>
          <w:rFonts w:hint="eastAsia" w:ascii="方正仿宋_GBK" w:hAnsi="方正仿宋_GBK" w:eastAsia="方正仿宋_GBK" w:cs="方正仿宋_GBK"/>
          <w:b w:val="0"/>
          <w:bCs/>
          <w:i w:val="0"/>
          <w:iCs w:val="0"/>
          <w:caps w:val="0"/>
          <w:color w:val="222222"/>
          <w:spacing w:val="15"/>
          <w:sz w:val="28"/>
          <w:szCs w:val="28"/>
        </w:rPr>
        <w:t>）</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0"/>
        <w:jc w:val="center"/>
        <w:textAlignment w:val="auto"/>
        <w:rPr>
          <w:rStyle w:val="11"/>
          <w:rFonts w:hint="default" w:ascii="Arial" w:hAnsi="Arial" w:cs="Arial"/>
          <w:b w:val="0"/>
          <w:bCs/>
          <w:i w:val="0"/>
          <w:iCs w:val="0"/>
          <w:caps w:val="0"/>
          <w:color w:val="222222"/>
          <w:spacing w:val="15"/>
          <w:sz w:val="28"/>
          <w:szCs w:val="28"/>
        </w:rPr>
      </w:pP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Fonts w:hint="eastAsia" w:ascii="方正黑体_GBK" w:hAnsi="方正黑体_GBK" w:eastAsia="方正黑体_GBK" w:cs="方正黑体_GBK"/>
          <w:b w:val="0"/>
          <w:bCs/>
          <w:i w:val="0"/>
          <w:iCs w:val="0"/>
          <w:caps w:val="0"/>
          <w:color w:val="222222"/>
          <w:spacing w:val="15"/>
          <w:sz w:val="32"/>
          <w:szCs w:val="32"/>
        </w:rPr>
      </w:pPr>
      <w:r>
        <w:rPr>
          <w:rStyle w:val="11"/>
          <w:rFonts w:hint="eastAsia" w:ascii="方正黑体_GBK" w:hAnsi="方正黑体_GBK" w:eastAsia="方正黑体_GBK" w:cs="方正黑体_GBK"/>
          <w:b w:val="0"/>
          <w:bCs/>
          <w:i w:val="0"/>
          <w:iCs w:val="0"/>
          <w:caps w:val="0"/>
          <w:color w:val="222222"/>
          <w:spacing w:val="15"/>
          <w:sz w:val="32"/>
          <w:szCs w:val="32"/>
        </w:rPr>
        <w:t>一、商场(市场)、宾馆(饭店)、体育场(馆)、会堂、公共娱乐场等公众聚集场所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（一）建筑面积1200平方米以上（含本数，下同）以及设置在地下、半地下建筑面积500平方米以上且经营可燃商品的商场（商店、市场）；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（二）单体建筑内客房总数60间以上或者多栋建筑内客房总数100间以上或者设置于地下、半地下客房总数50间以上的旅馆场所；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（三）座位数3000个以上的室内公共体育场（馆）、座位数2000个以上的会堂；</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（四）建筑面积600平方米以上的公共娱乐场所；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（五）建筑面积2000平方米以上的公共餐饮场所。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二、医疗机构、康复机构、老年人照料设施、儿童福利机构、母婴服务机构和寄宿制的学校、托管机构、托儿所、幼儿园</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（一）单体建筑内住院（住宿）床位50张以上或多栋建筑床位合计100张以上的医院、医养机构、康复机构；</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（二）单体建筑内住宿床位50张以上或多栋建筑床位合计90张以上的老年人照料设施、福利机构；</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（三）单体建筑内住院（住宿）床位50张以上或多栋建筑床位合计100张以上的母婴服务机构；</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（四）学生住宿（夜间）床位100张以上的寄宿制学校、托管机构；</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（五）幼儿住宿（夜间）床位50张以上的托儿所、幼儿园以及大型托儿所（8个班及以上）、幼儿园（9个班及以上）。</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三、国家机关</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（一）县级以上的党委、人大、政府、政协办公场所及配套服务场所；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（二）县级以上的人民检察院、人民法院办公场所及配套服务场所；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（三）县级以上的政务服务中心办公场所及配套服务场所。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四、广播、电视和邮政、通信枢纽</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（一）县级以上的广播电台、电视台；</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（二）县级以上的邮政和通信枢纽单位；</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（三）B级以上的数据中心。</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五、客运车站、码头、民用机场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（一）候车厅、候船厅的建筑面积在1000平方米以上的客运车站和客运码头；</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（二）大型港口；</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332" w:leftChars="158" w:right="0" w:firstLine="269" w:firstLineChars="77"/>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（三）民用机场。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leftChars="0" w:right="0" w:firstLine="616" w:firstLineChars="176"/>
        <w:jc w:val="left"/>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六、公共图书馆、展览馆、博物馆、档案馆、宗教活动场所以及具有火灾危险性的文物保护单位、旅游景区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（一）任一层建筑面积1500平方米以上或者总建筑面积3000平方米以上的展览馆，藏书50万册以上的公共图书馆；</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（二）国家二级以上的博物馆，县级以上的档案馆；</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（三）建筑面积2500平方米以上的宗教活动场所；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（四）具有火灾危险性县级以上的文物保护单位；</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（五）具有火灾危险性3A级以上的旅游景区。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42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七、发电厂(站)和电网调度中心</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（一）大型以上的发电厂；</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（二）500KV以上电压等级的变电站（换流站）；</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（三）50MW以上的电化学储能电站；</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（四）县级以上的电网调度中心。</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八、易燃易爆化学物品的生产、充装、储存、供应、销售单位</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（一）建筑面积2000平方米以上生产易燃易爆化学物品的工厂；</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（二）建筑面积300平方米以上或者危险化学品最大储量达到重大危险源临界量的储存易燃易爆化学物品的专用仓库（堆场、储罐场所）；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（三）易燃易爆气体和液体的灌装站、调压站；</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（四）营业性汽车加油站、加气站、加氢站及合建站，燃气供应站；</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（五）建筑面积300平方米以上的易燃易爆化学物品专营商店；</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（六）化工装置设备及其附属建构筑物占地面积5000平方米以上的企业。</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九、生产、加工企业和仓储物流场所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企业员工总数1000人以上，或者在同一时段内生产车间员工总数在300人以上，或者员工集体宿舍单体建筑内床位数100张以上的服装、鞋帽、玩具、木制品、家具、塑料、食品加工、纺织、印染、印刷等劳动密集型企业；</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（二）具有火灾危险性的大型生产、加工企业；</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（三）单体建筑内所有企业的从业人员总数、营业收入总额同时达到大型生产、加工企业界定标准的建筑；</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（四）国家物资储备库；</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（五）每座占地面积1500平方米以上或总建筑面积3000平方米以上的易燃可燃物品仓储物流场所。</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十、高层建筑、城市地下铁道、地下观光隧道、公路隧道、重点工程的施工现场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（一）高层公共建筑、超高层住宅小区；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（二）城市地下铁道、地下观光隧道等地下场所和长度超过一千米的公路隧道；</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28"/>
          <w:szCs w:val="28"/>
        </w:rPr>
      </w:pPr>
      <w:r>
        <w:rPr>
          <w:rStyle w:val="11"/>
          <w:rFonts w:hint="default" w:ascii="方正仿宋_GBK" w:hAnsi="方正仿宋_GBK" w:eastAsia="方正仿宋_GBK" w:cs="方正仿宋_GBK"/>
          <w:b w:val="0"/>
          <w:bCs/>
          <w:i w:val="0"/>
          <w:iCs w:val="0"/>
          <w:caps w:val="0"/>
          <w:color w:val="222222"/>
          <w:spacing w:val="15"/>
          <w:sz w:val="32"/>
          <w:szCs w:val="32"/>
        </w:rPr>
        <w:t>（三）国家和省级重点工程的施工现场。</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right="0" w:firstLine="700" w:firstLineChars="200"/>
        <w:jc w:val="both"/>
        <w:textAlignment w:val="auto"/>
        <w:rPr>
          <w:rStyle w:val="11"/>
          <w:rFonts w:hint="default" w:ascii="方正黑体_GBK" w:hAnsi="方正黑体_GBK" w:eastAsia="方正黑体_GBK" w:cs="方正黑体_GBK"/>
          <w:b w:val="0"/>
          <w:bCs/>
          <w:i w:val="0"/>
          <w:iCs w:val="0"/>
          <w:caps w:val="0"/>
          <w:color w:val="222222"/>
          <w:spacing w:val="15"/>
          <w:sz w:val="32"/>
          <w:szCs w:val="32"/>
        </w:rPr>
      </w:pPr>
      <w:r>
        <w:rPr>
          <w:rStyle w:val="11"/>
          <w:rFonts w:hint="default" w:ascii="方正黑体_GBK" w:hAnsi="方正黑体_GBK" w:eastAsia="方正黑体_GBK" w:cs="方正黑体_GBK"/>
          <w:b w:val="0"/>
          <w:bCs/>
          <w:i w:val="0"/>
          <w:iCs w:val="0"/>
          <w:caps w:val="0"/>
          <w:color w:val="222222"/>
          <w:spacing w:val="15"/>
          <w:sz w:val="32"/>
          <w:szCs w:val="32"/>
        </w:rPr>
        <w:t>十一、其他发生火灾可能性较大以及一旦发生火灾可能造成人身重大伤亡或者财产重大损失的单位</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（一）科研实验中具有火灾危险性的省部级以上科研单位；</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（二）二级分行以上的银行，市级以上的非银行金融机构；</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（三）除劳动密集型企业外，单体建筑内人员密集场所总建筑面积之和3000平方米以上或任一层人员密集场所总建筑面积之和1500平方米以上的综合楼；</w:t>
      </w: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60" w:lineRule="exact"/>
        <w:ind w:left="0" w:right="0" w:firstLine="700" w:firstLineChars="200"/>
        <w:jc w:val="left"/>
        <w:textAlignment w:val="auto"/>
        <w:rPr>
          <w:rStyle w:val="11"/>
          <w:rFonts w:hint="default" w:ascii="方正仿宋_GBK" w:hAnsi="方正仿宋_GBK" w:eastAsia="方正仿宋_GBK" w:cs="方正仿宋_GBK"/>
          <w:b w:val="0"/>
          <w:bCs/>
          <w:i w:val="0"/>
          <w:iCs w:val="0"/>
          <w:caps w:val="0"/>
          <w:color w:val="222222"/>
          <w:spacing w:val="15"/>
          <w:sz w:val="32"/>
          <w:szCs w:val="32"/>
        </w:rPr>
      </w:pPr>
      <w:r>
        <w:rPr>
          <w:rStyle w:val="11"/>
          <w:rFonts w:hint="default" w:ascii="方正仿宋_GBK" w:hAnsi="方正仿宋_GBK" w:eastAsia="方正仿宋_GBK" w:cs="方正仿宋_GBK"/>
          <w:b w:val="0"/>
          <w:bCs/>
          <w:i w:val="0"/>
          <w:iCs w:val="0"/>
          <w:caps w:val="0"/>
          <w:color w:val="222222"/>
          <w:spacing w:val="15"/>
          <w:sz w:val="32"/>
          <w:szCs w:val="32"/>
        </w:rPr>
        <w:t>（四）其他发生火灾可能性较大以及一旦发生火灾可能造成人身重大伤亡或者财产重大损失的单位。</w:t>
      </w: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20" w:lineRule="exact"/>
        <w:jc w:val="both"/>
        <w:textAlignment w:val="auto"/>
        <w:rPr>
          <w:rStyle w:val="11"/>
          <w:rFonts w:hint="default" w:ascii="方正仿宋_GBK" w:hAnsi="方正仿宋_GBK" w:eastAsia="方正仿宋_GBK" w:cs="方正仿宋_GBK"/>
          <w:b w:val="0"/>
          <w:bCs/>
          <w:i w:val="0"/>
          <w:iCs w:val="0"/>
          <w:caps w:val="0"/>
          <w:color w:val="222222"/>
          <w:spacing w:val="15"/>
          <w:kern w:val="0"/>
          <w:sz w:val="32"/>
          <w:szCs w:val="32"/>
          <w:lang w:val="en-US" w:eastAsia="zh-CN" w:bidi="ar"/>
        </w:rPr>
      </w:pPr>
    </w:p>
    <w:p>
      <w:pPr>
        <w:pStyle w:val="8"/>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firstLine="440" w:firstLineChars="200"/>
        <w:jc w:val="both"/>
        <w:textAlignment w:val="auto"/>
        <w:rPr>
          <w:rFonts w:hint="default"/>
          <w:color w:val="auto"/>
          <w:sz w:val="22"/>
          <w:szCs w:val="28"/>
          <w:lang w:val="en-US" w:eastAsia="zh-CN"/>
        </w:rPr>
      </w:pPr>
      <w:bookmarkStart w:id="0" w:name="_GoBack"/>
      <w:bookmarkEnd w:id="0"/>
    </w:p>
    <w:sectPr>
      <w:footerReference r:id="rId3" w:type="default"/>
      <w:pgSz w:w="11906" w:h="16838"/>
      <w:pgMar w:top="1701" w:right="1701" w:bottom="1701" w:left="170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Nimbus Roman No9 L">
    <w:altName w:val="Calibri"/>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2OTdiODlhODFiNTY4NDRlMzc0ZmEwZjViYzdjZGUifQ=="/>
  </w:docVars>
  <w:rsids>
    <w:rsidRoot w:val="54CD6281"/>
    <w:rsid w:val="020178DA"/>
    <w:rsid w:val="06A518A1"/>
    <w:rsid w:val="0C0D50B7"/>
    <w:rsid w:val="113D294F"/>
    <w:rsid w:val="16232CE1"/>
    <w:rsid w:val="16C16103"/>
    <w:rsid w:val="177F584C"/>
    <w:rsid w:val="18903168"/>
    <w:rsid w:val="1B801C89"/>
    <w:rsid w:val="25395420"/>
    <w:rsid w:val="28761A25"/>
    <w:rsid w:val="298C7B83"/>
    <w:rsid w:val="2C866204"/>
    <w:rsid w:val="2D2105E2"/>
    <w:rsid w:val="2FCD4A51"/>
    <w:rsid w:val="325C5C03"/>
    <w:rsid w:val="35C70446"/>
    <w:rsid w:val="3AE73024"/>
    <w:rsid w:val="3B941857"/>
    <w:rsid w:val="3D853DBD"/>
    <w:rsid w:val="476D20B2"/>
    <w:rsid w:val="48ED589E"/>
    <w:rsid w:val="4ED908C5"/>
    <w:rsid w:val="54583DA8"/>
    <w:rsid w:val="54CD6281"/>
    <w:rsid w:val="54FF02B0"/>
    <w:rsid w:val="575B60B0"/>
    <w:rsid w:val="57A328B9"/>
    <w:rsid w:val="58386C98"/>
    <w:rsid w:val="58516D67"/>
    <w:rsid w:val="59951FC7"/>
    <w:rsid w:val="5C602626"/>
    <w:rsid w:val="62A16096"/>
    <w:rsid w:val="62A414BE"/>
    <w:rsid w:val="66F6288F"/>
    <w:rsid w:val="69894F6A"/>
    <w:rsid w:val="6ABC1BE4"/>
    <w:rsid w:val="6C7A7526"/>
    <w:rsid w:val="6D457026"/>
    <w:rsid w:val="6E776563"/>
    <w:rsid w:val="71D24B4A"/>
    <w:rsid w:val="73427371"/>
    <w:rsid w:val="75CF0611"/>
    <w:rsid w:val="7A3C7DD6"/>
    <w:rsid w:val="7D2F582D"/>
    <w:rsid w:val="7D924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spacing w:before="100" w:beforeAutospacing="1"/>
      <w:ind w:firstLine="420" w:firstLineChars="200"/>
    </w:pPr>
  </w:style>
  <w:style w:type="paragraph" w:styleId="3">
    <w:name w:val="Body Text Indent"/>
    <w:basedOn w:val="1"/>
    <w:next w:val="4"/>
    <w:autoRedefine/>
    <w:qFormat/>
    <w:uiPriority w:val="0"/>
    <w:pPr>
      <w:spacing w:after="120"/>
      <w:ind w:left="420" w:leftChars="200"/>
    </w:pPr>
  </w:style>
  <w:style w:type="paragraph" w:styleId="4">
    <w:name w:val="Normal Indent"/>
    <w:basedOn w:val="1"/>
    <w:autoRedefine/>
    <w:qFormat/>
    <w:uiPriority w:val="0"/>
    <w:pPr>
      <w:ind w:firstLine="420" w:firstLineChars="200"/>
    </w:pPr>
  </w:style>
  <w:style w:type="paragraph" w:customStyle="1" w:styleId="5">
    <w:name w:val="样式1"/>
    <w:basedOn w:val="1"/>
    <w:autoRedefine/>
    <w:qFormat/>
    <w:uiPriority w:val="0"/>
    <w:pPr>
      <w:pBdr>
        <w:top w:val="thinThickMediumGap" w:color="auto" w:sz="24" w:space="1"/>
      </w:pBdr>
      <w:spacing w:line="560" w:lineRule="exact"/>
    </w:pPr>
    <w:rPr>
      <w:rFonts w:ascii="仿宋_GB2312" w:eastAsia="仿宋_GB2312"/>
      <w:sz w:val="32"/>
      <w:szCs w:val="32"/>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FollowedHyperlink"/>
    <w:basedOn w:val="10"/>
    <w:uiPriority w:val="0"/>
    <w:rPr>
      <w:color w:val="800080"/>
      <w:u w:val="single"/>
    </w:rPr>
  </w:style>
  <w:style w:type="character" w:styleId="13">
    <w:name w:val="Hyperlink"/>
    <w:basedOn w:val="10"/>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2024-01-09T05:07:00Z</dcterms:created>
  <dc:creator>Administrator</dc:creator>
  <cp:lastModifiedBy>Administrator</cp:lastModifiedBy>
  <cp:lastPrinted>2024-01-10T08:55:00Z</cp:lastPrinted>
  <dcterms:modified xsi:type="dcterms:W3CDTF">2024-01-12T02:17:59Z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332EB18A91AB4321BA739BE95419FD43_13</vt:lpwstr>
  </property>
</Properties>
</file>